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D87ACF">
        <w:rPr>
          <w:rFonts w:ascii="Bookman Old Style" w:hAnsi="Bookman Old Style" w:cs="Helvetica"/>
          <w:b/>
          <w:color w:val="000000"/>
          <w:sz w:val="28"/>
          <w:u w:val="single"/>
        </w:rPr>
        <w:t>Termet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02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kotły </w:t>
      </w:r>
      <w:r w:rsidR="00D87ACF">
        <w:rPr>
          <w:rFonts w:ascii="Bookman Old Style" w:eastAsia="Times New Roman" w:hAnsi="Bookman Old Style"/>
          <w:b/>
          <w:color w:val="000000"/>
          <w:lang w:eastAsia="pl-PL"/>
        </w:rPr>
        <w:t>ECOCONDENS GOLD PLUS oraz pakiety obejmujące kocioł ECOCONDENS GOLD PLUS.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promocji:</w:t>
      </w:r>
    </w:p>
    <w:p w:rsidR="00A4618F" w:rsidRDefault="00D87AC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Dwóch kotłów ECOCONDENS GOLD PLUS TERMET lub pakietu obejmującego kocioł ECOCONDENS GOLD PLUS TERMET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/>
          <w:b/>
          <w:color w:val="000000"/>
          <w:lang w:eastAsia="pl-PL"/>
        </w:rPr>
        <w:t>komplet ubrań roboczych Unimax.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D87ACF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</w:t>
      </w:r>
      <w:bookmarkStart w:id="0" w:name="_GoBack"/>
      <w:bookmarkEnd w:id="0"/>
      <w:r w:rsidR="00A95B73">
        <w:rPr>
          <w:rFonts w:ascii="Bookman Old Style" w:eastAsia="Times New Roman" w:hAnsi="Bookman Old Style"/>
          <w:color w:val="000000"/>
          <w:lang w:eastAsia="pl-PL"/>
        </w:rPr>
        <w:t>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24" w:rsidRDefault="004E0824" w:rsidP="00A95B73">
      <w:pPr>
        <w:spacing w:after="0" w:line="240" w:lineRule="auto"/>
      </w:pPr>
      <w:r>
        <w:separator/>
      </w:r>
    </w:p>
  </w:endnote>
  <w:endnote w:type="continuationSeparator" w:id="0">
    <w:p w:rsidR="004E0824" w:rsidRDefault="004E082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24" w:rsidRDefault="004E0824" w:rsidP="00A95B73">
      <w:pPr>
        <w:spacing w:after="0" w:line="240" w:lineRule="auto"/>
      </w:pPr>
      <w:r>
        <w:separator/>
      </w:r>
    </w:p>
  </w:footnote>
  <w:footnote w:type="continuationSeparator" w:id="0">
    <w:p w:rsidR="004E0824" w:rsidRDefault="004E082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0824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87ACF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2019-06-11T13:06:00Z</dcterms:created>
  <dcterms:modified xsi:type="dcterms:W3CDTF">2020-11-03T11:26:00Z</dcterms:modified>
</cp:coreProperties>
</file>